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91CB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新晃侗族自治县市场监督管理局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</w:t>
      </w:r>
    </w:p>
    <w:p w14:paraId="614C19F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预算绩效情况的说明</w:t>
      </w:r>
    </w:p>
    <w:p w14:paraId="257D9EB6"/>
    <w:p w14:paraId="4B9CD697"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 w14:paraId="717E5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年新晃侗族自治县市场监督管理局年初预算收入1531.98万元，2024年收入实际完成2457.04万元，上年实际收入是1717.67万元，比上年同期增加739.37万元，比上年同期增长43.04%。2024年本部门年初预算支出1531.98万元，2024年本部门实际支出2457.04万元，上年支出1717.67万元，比上年同期增加739.37万元，比上年同期增长43.04%。财政拨款基本支出2457.04万元，基本支出比率100%，财政拨款项目支出0万元，项目支出比率0%。</w:t>
      </w:r>
    </w:p>
    <w:p w14:paraId="60ADE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bottom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单位资产情况：资产总额：533.85万元，其中流动资产113.12万元，非流动资产420.73万元（固定资产净值420.73万元）。固定资产原值1240.24万元，固定资产其中房屋和建筑物购建固定资产期末原值507.64万元（办公用房面积927平方米，业务用房面积4980平方米，其它用房面积372.25平方米），通用设备原值703.37万元，家具和用具29.22万元。</w:t>
      </w:r>
    </w:p>
    <w:p w14:paraId="67F59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车辆账面数量5台，账面原价值114.75万元，实际公车改革执法执勤业务用车保留一台，特种专业技术车辆一台。人均办公使用面积10.41平方米，人车比例每18人一台车。</w:t>
      </w:r>
    </w:p>
    <w:p w14:paraId="4C98B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“三公”经费控制情况：“三公”经费2024年决算总额数27.67万元,年初预算数20万元,完成预算数138.35%。其中公务接待决算数0.99万元,年初预算数5万元,完成预算数19.8%。公务用车运行维护决算数12.21万元，年初预算数15万元,完成预算数81.4%（超出原因是因上级补助公务用车购置费用，2024年初付款）。我局公务接待严格按照中央八项规定厉行节约,控制接待范围、规格、标准和人数等，严格按照《新晃侗族自治县党政机关国内公务接待管理实施细则》规定，加强公务外出审批管理制度。公务用车运行维护费，严格按照《新晃侗族自治县县直党政机关执法执勤用车制度改革实施细则》规定，加强执法执勤用车使用管理，建立健全登记、公示等各项使用管理制度。严格按规定使用执法执勤用车，严禁以任何理由挪用或固定给个人使用执法执勤用车，不得以任何方式换用、借用、占用其他单位或下属单位执法执勤用车。</w:t>
      </w:r>
    </w:p>
    <w:p w14:paraId="0157170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 w14:paraId="20B88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bottom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2024年，我局在县委、县政府的正确领导和上级业务部门的精心指导下，紧紧围绕全县经济社会发展大局，以保障市场安全、维护市场秩序、服务经济发展为核心任务，扎实  推进各项工作，取得了显著成效。</w:t>
      </w:r>
    </w:p>
    <w:p w14:paraId="35D707A1">
      <w:pPr>
        <w:spacing w:line="560" w:lineRule="exact"/>
        <w:ind w:firstLine="643" w:firstLineChars="200"/>
        <w:rPr>
          <w:rFonts w:hint="eastAsia" w:ascii="仿宋" w:hAnsi="仿宋" w:eastAsia="宋体" w:cs="仿宋"/>
          <w:bCs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Times New Roman"/>
          <w:b/>
          <w:bCs/>
          <w:sz w:val="32"/>
          <w:szCs w:val="32"/>
        </w:rPr>
        <w:t>202</w:t>
      </w:r>
      <w:r>
        <w:rPr>
          <w:rFonts w:hint="eastAsia" w:ascii="仿宋" w:hAnsi="仿宋" w:eastAsia="仿宋" w:cs="Times New Roman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Times New Roman"/>
          <w:b/>
          <w:bCs/>
          <w:sz w:val="32"/>
          <w:szCs w:val="32"/>
        </w:rPr>
        <w:t>年度财政支出所取得的</w:t>
      </w:r>
      <w:r>
        <w:rPr>
          <w:rFonts w:hint="eastAsia" w:ascii="仿宋" w:hAnsi="仿宋" w:eastAsia="仿宋" w:cs="Times New Roman"/>
          <w:b/>
          <w:bCs/>
          <w:sz w:val="32"/>
          <w:szCs w:val="32"/>
          <w:lang w:eastAsia="zh-CN"/>
        </w:rPr>
        <w:t>主要</w:t>
      </w:r>
      <w:r>
        <w:rPr>
          <w:rFonts w:hint="eastAsia" w:ascii="仿宋" w:hAnsi="仿宋" w:eastAsia="仿宋" w:cs="Times New Roman"/>
          <w:b/>
          <w:bCs/>
          <w:sz w:val="32"/>
          <w:szCs w:val="32"/>
        </w:rPr>
        <w:t>绩效</w:t>
      </w:r>
      <w:r>
        <w:rPr>
          <w:rFonts w:hint="eastAsia" w:ascii="仿宋" w:hAnsi="仿宋" w:eastAsia="仿宋" w:cs="Times New Roman"/>
          <w:b/>
          <w:bCs/>
          <w:sz w:val="32"/>
          <w:szCs w:val="32"/>
          <w:lang w:eastAsia="zh-CN"/>
        </w:rPr>
        <w:t>：</w:t>
      </w:r>
    </w:p>
    <w:p w14:paraId="606879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创新服务举措，优化营商环境</w:t>
      </w:r>
    </w:p>
    <w:p w14:paraId="2117C1AD">
      <w:pPr>
        <w:spacing w:line="600" w:lineRule="exact"/>
        <w:ind w:firstLine="645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一是扎实推进市场主体202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年度报告工作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对年报工作进行部署安排，通过官方主流媒体、手机短信、印制年报通知单、实地走访各乡镇、窗口提醒牌等进行年报宣传。2024年，全县企业需要报送年报户数为2711户，已报送2695户，企业年报率达到99.41%；全县农专需报送户数为350户，已报送340户，农专年报率达到97.14%；全县个体需报送15662户，已报送15506户，截至目前个体年报率达到99%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二是切实做好“双随机、一公开”监管工作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截至2024年10月22日，检查对象库、执法检查人员库均已完善，部门覆盖率95.24%，任务完成率84.7%，结果公示率78.1%，部门联合任务占比率52.94%。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三是持续发力助力市场主体信用提升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2024年我局信用监管股对“列异”工作高度重视，切实抓好企业年报公示逾期“列异”工作，对被“列异”的企业加强日常监管，对申请移出经营异常名录的企业严把“三关”，做好企业移出经营异常名录管理工作，截至10月22日，已审核通过移出经营异常名录企业、农民专业合作社、个体工商户共13户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四是全面推进企业开办“一日办结”，降低企业开办成本</w:t>
      </w:r>
      <w:r>
        <w:rPr>
          <w:rFonts w:hint="eastAsia" w:ascii="仿宋_GB2312" w:hAnsi="仿宋_GB2312" w:eastAsia="仿宋_GB2312" w:cs="仿宋_GB2312"/>
          <w:sz w:val="32"/>
          <w:szCs w:val="32"/>
        </w:rPr>
        <w:t>。2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024年市场主体通过“一网通办”平台办理企业登记677户，实现“零见面”办理；完善市场主体退出机制，共办理简易注销194件；2024年为677户企业免费刻制公章1354枚；基层市场监管所办理“企业登记”及“农民专业合作社”设立登记177户。截至10月，全县实有各类市场主体总数20491户，2024年净增1480户，完成目标任务数的104.37%（任务数为1418户）。实有企业3572户，2024年净增515户，完成目标任务数的132.05%（任务数为390户）。个转企完成15户，完成目标任务数的100%。五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是强化企业知识产权保护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以知识产权创造、运用、保护、管理、服务五大环节为主线，今年走访相关企业、商户和集体等单位50余家，出动相关工作人员130人次。截至2024年10月22日，我县发明专利拥有量60件，发明专利拥有量比上年度增加6件,申请商标注册242件，注册126件，有效注册量1173件。向企业宣传地理标志产品申报、商标注册、专利申请、专利质押融资、知识产权项目申报等政策，目前老蔡食品有限公司与中国工商银行专利质押1000万正在办理中。指导湖南侗都米业有限公司、湖南牛丰农业科技集团有限公司、湖南利好生物科技有限公司、新晃沛霖龙脑日用化妆品有限公司、新晃国药龙脑科技有限公司分别申请使用“新晃红米”、“新晃黄牛”、“新晃龙脑”国家地理标志专用标志；协助老蔡食品有限公司、新侗新锦程电动汽车有限公司申报湖南省知识产权专项项目。</w:t>
      </w:r>
    </w:p>
    <w:p w14:paraId="29C634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六是扎实开展质量强县建设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开展产品质量监督抽查，全年共组织对全县生产、流通领域的重点产品进行监督抽查100批次，涉及成品油、建材、农资、电器、化肥、烟花爆竹等多个品类。对抽查不合格的产品，及时依法进行处理，督促企业落实质量主体责任，提高产品质量。对小作坊和流通领域的食品（糕点、粽子、桶装水、月饼、大米、菜籽油等）以及本地生产企业生产的牛肉制品、豆制品等进行监督检验205批次，合格率100%。对市场上的肥料进行监督检验共20批次，其中有2个批次不合格，剩余批次均合格。计量检定方面，根据使用单位申报的计量强检计划，本年度共完成检定计量器具2881台件,其中衡器67台件，天平10台件，电能表85块,压力表405块,加油机308枪(次)，水表1909块，血压计55，定量包装12批次。</w:t>
      </w:r>
    </w:p>
    <w:p w14:paraId="0ECF283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488E6A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通过全面审视2024年度市场监管工作，仍然存在一些不可忽视的问题。一是加强对基层的财务业务培训和指导，譬如账务系统不熟悉，做账没有系统培训等。二是加强基层人员和经费保障，市场监管工作任务重、战线长、范围广，是人民群众生命财产安全的一道有力防线，在人员和经费保障方面还需上级部门更加有力地支持。</w:t>
      </w:r>
    </w:p>
    <w:p w14:paraId="750EED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</w:p>
    <w:p w14:paraId="606963F9"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</w:pPr>
    </w:p>
    <w:p w14:paraId="7D5BC615">
      <w:pPr>
        <w:ind w:firstLine="4480" w:firstLineChars="14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 xml:space="preserve">    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 w:bidi="ar-SA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22972E"/>
    <w:multiLevelType w:val="singleLevel"/>
    <w:tmpl w:val="5522972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01825EFA"/>
    <w:rsid w:val="09D96DB9"/>
    <w:rsid w:val="0AE726EF"/>
    <w:rsid w:val="0CF06F2A"/>
    <w:rsid w:val="1211524D"/>
    <w:rsid w:val="13545D39"/>
    <w:rsid w:val="14706BA3"/>
    <w:rsid w:val="154D47EE"/>
    <w:rsid w:val="18B954F5"/>
    <w:rsid w:val="1AC92B69"/>
    <w:rsid w:val="296D0E96"/>
    <w:rsid w:val="2F204FF5"/>
    <w:rsid w:val="3A744447"/>
    <w:rsid w:val="3C123F18"/>
    <w:rsid w:val="3CB054DF"/>
    <w:rsid w:val="3D321633"/>
    <w:rsid w:val="43C04259"/>
    <w:rsid w:val="481B05F8"/>
    <w:rsid w:val="48877874"/>
    <w:rsid w:val="489A18C8"/>
    <w:rsid w:val="58353010"/>
    <w:rsid w:val="590D7AE9"/>
    <w:rsid w:val="5BAC7BA2"/>
    <w:rsid w:val="62D11B87"/>
    <w:rsid w:val="674A63AC"/>
    <w:rsid w:val="6CD26C28"/>
    <w:rsid w:val="727342FE"/>
    <w:rsid w:val="79C97604"/>
    <w:rsid w:val="7A1940E8"/>
    <w:rsid w:val="7BA4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 2"/>
    <w:basedOn w:val="2"/>
    <w:unhideWhenUsed/>
    <w:qFormat/>
    <w:uiPriority w:val="99"/>
    <w:pPr>
      <w:ind w:firstLine="420" w:firstLineChars="200"/>
    </w:pPr>
  </w:style>
  <w:style w:type="paragraph" w:customStyle="1" w:styleId="7">
    <w:name w:val="Heading3"/>
    <w:basedOn w:val="1"/>
    <w:next w:val="1"/>
    <w:qFormat/>
    <w:uiPriority w:val="99"/>
    <w:pPr>
      <w:keepNext/>
      <w:keepLines/>
      <w:spacing w:line="560" w:lineRule="exact"/>
      <w:textAlignment w:val="baseline"/>
    </w:pPr>
    <w:rPr>
      <w:rFonts w:cs="Calibri"/>
      <w:b/>
      <w:bCs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2348</Words>
  <Characters>2695</Characters>
  <Lines>0</Lines>
  <Paragraphs>0</Paragraphs>
  <TotalTime>74</TotalTime>
  <ScaleCrop>false</ScaleCrop>
  <LinksUpToDate>false</LinksUpToDate>
  <CharactersWithSpaces>2717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water.  ❦</cp:lastModifiedBy>
  <dcterms:modified xsi:type="dcterms:W3CDTF">2025-09-19T03:06:22Z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02A8310F8E4D45B787496E5C0C205043_13</vt:lpwstr>
  </property>
  <property fmtid="{D5CDD505-2E9C-101B-9397-08002B2CF9AE}" pid="4" name="KSOTemplateDocerSaveRecord">
    <vt:lpwstr>eyJoZGlkIjoiNjY0NTc3NmZjZDdiMWJhZWYxOTcyNDRiZmVkYzQ0ZmIiLCJ1c2VySWQiOiIxMjg0MzcyMzQxIn0=</vt:lpwstr>
  </property>
</Properties>
</file>